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C9" w:rsidRDefault="000E4C0E">
      <w:r>
        <w:rPr>
          <w:noProof/>
        </w:rPr>
        <w:drawing>
          <wp:inline distT="0" distB="0" distL="0" distR="0">
            <wp:extent cx="5936843" cy="8896350"/>
            <wp:effectExtent l="0" t="0" r="6985" b="0"/>
            <wp:docPr id="3" name="Picture 3" descr="http://ecx.images-amazon.com/images/I/51c1i9V5St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://ecx.images-amazon.com/images/I/51c1i9V5St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46" cy="893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71" w:rsidRPr="00266114" w:rsidRDefault="00084F71" w:rsidP="00084F71">
      <w:pPr>
        <w:pStyle w:val="NoSpacing"/>
      </w:pPr>
      <w:r w:rsidRPr="00266114">
        <w:lastRenderedPageBreak/>
        <w:t>Part 1: Perspectives</w:t>
      </w:r>
    </w:p>
    <w:p w:rsidR="00084F71" w:rsidRPr="00266114" w:rsidRDefault="00084F71" w:rsidP="00084F71">
      <w:pPr>
        <w:pStyle w:val="NoSpacing"/>
      </w:pPr>
    </w:p>
    <w:p w:rsidR="00084F71" w:rsidRPr="00CF2748" w:rsidRDefault="00084F71" w:rsidP="00084F71">
      <w:pPr>
        <w:pStyle w:val="NoSpacing"/>
      </w:pPr>
      <w:r w:rsidRPr="00266114">
        <w:t>Chapter 1: Introduction</w:t>
      </w:r>
      <w:r>
        <w:t xml:space="preserve"> of </w:t>
      </w:r>
      <w:r w:rsidRPr="00CF2748">
        <w:t>Enterprise Risk Management</w:t>
      </w:r>
      <w:r w:rsidRPr="00DD2DBE">
        <w:t xml:space="preserve"> </w:t>
      </w:r>
      <w:r>
        <w:t>in Finance</w:t>
      </w:r>
    </w:p>
    <w:p w:rsidR="00084F71" w:rsidRDefault="00084F71" w:rsidP="00084F71">
      <w:pPr>
        <w:pStyle w:val="NoSpacing"/>
      </w:pPr>
      <w:r w:rsidRPr="00266114">
        <w:t>Introduction</w:t>
      </w:r>
    </w:p>
    <w:p w:rsidR="00084F71" w:rsidRPr="00266114" w:rsidRDefault="00084F71" w:rsidP="00084F71">
      <w:pPr>
        <w:pStyle w:val="NoSpacing"/>
      </w:pPr>
      <w:r>
        <w:t>Crisis, Globalization and risk</w:t>
      </w:r>
    </w:p>
    <w:p w:rsidR="00084F71" w:rsidRPr="00266114" w:rsidRDefault="00084F71" w:rsidP="00084F71">
      <w:pPr>
        <w:pStyle w:val="NoSpacing"/>
      </w:pPr>
      <w:r w:rsidRPr="00266114">
        <w:t xml:space="preserve">History </w:t>
      </w:r>
      <w:r>
        <w:t xml:space="preserve">of </w:t>
      </w:r>
      <w:proofErr w:type="gramStart"/>
      <w:r w:rsidRPr="00266114">
        <w:t xml:space="preserve">ERM </w:t>
      </w:r>
      <w:r>
        <w:t xml:space="preserve"> in</w:t>
      </w:r>
      <w:proofErr w:type="gramEnd"/>
      <w:r>
        <w:t xml:space="preserve"> Finance</w:t>
      </w:r>
    </w:p>
    <w:p w:rsidR="00084F71" w:rsidRPr="00266114" w:rsidRDefault="00084F71" w:rsidP="00084F71">
      <w:pPr>
        <w:pStyle w:val="NoSpacing"/>
      </w:pPr>
      <w:r w:rsidRPr="00266114">
        <w:t>What is ERM</w:t>
      </w:r>
      <w:r w:rsidRPr="00DD2DBE">
        <w:t xml:space="preserve"> </w:t>
      </w:r>
      <w:r>
        <w:t>in Finance</w:t>
      </w:r>
      <w:r w:rsidRPr="00266114">
        <w:t>?</w:t>
      </w:r>
    </w:p>
    <w:p w:rsidR="00084F71" w:rsidRDefault="00084F71" w:rsidP="00084F71">
      <w:pPr>
        <w:pStyle w:val="NoSpacing"/>
      </w:pPr>
      <w:r w:rsidRPr="00266114">
        <w:t xml:space="preserve">Types of </w:t>
      </w:r>
      <w:r>
        <w:t xml:space="preserve">Financial </w:t>
      </w:r>
      <w:r w:rsidRPr="00266114">
        <w:t>Risk</w:t>
      </w:r>
    </w:p>
    <w:p w:rsidR="00084F71" w:rsidRPr="00266114" w:rsidRDefault="00084F71" w:rsidP="00084F71">
      <w:pPr>
        <w:pStyle w:val="NoSpacing"/>
      </w:pPr>
      <w:r>
        <w:t>A framework for financial risk management</w:t>
      </w:r>
    </w:p>
    <w:p w:rsidR="00084F71" w:rsidRPr="00266114" w:rsidRDefault="00084F71" w:rsidP="00084F71">
      <w:pPr>
        <w:pStyle w:val="NoSpacing"/>
      </w:pPr>
      <w:r w:rsidRPr="00266114">
        <w:t>Conclusions</w:t>
      </w:r>
    </w:p>
    <w:p w:rsidR="00084F71" w:rsidRPr="00266114" w:rsidRDefault="00084F71" w:rsidP="00084F71">
      <w:pPr>
        <w:pStyle w:val="NoSpacing"/>
      </w:pPr>
    </w:p>
    <w:p w:rsidR="00084F71" w:rsidRPr="00266114" w:rsidRDefault="00084F71" w:rsidP="00084F71">
      <w:pPr>
        <w:pStyle w:val="NoSpacing"/>
      </w:pPr>
      <w:r w:rsidRPr="00266114">
        <w:t xml:space="preserve">Chapter 2: The Financial </w:t>
      </w:r>
      <w:r>
        <w:t xml:space="preserve">Risk </w:t>
      </w:r>
      <w:r w:rsidRPr="00266114">
        <w:t>Perspective</w:t>
      </w:r>
    </w:p>
    <w:p w:rsidR="00084F71" w:rsidRPr="00266114" w:rsidRDefault="00084F71" w:rsidP="00084F71">
      <w:pPr>
        <w:pStyle w:val="NoSpacing"/>
      </w:pPr>
      <w:r>
        <w:t>2.1 Recent Financial Risks</w:t>
      </w:r>
    </w:p>
    <w:p w:rsidR="00084F71" w:rsidRDefault="00084F71" w:rsidP="00084F71">
      <w:pPr>
        <w:pStyle w:val="NoSpacing"/>
      </w:pPr>
      <w:r>
        <w:t xml:space="preserve">2.2 </w:t>
      </w:r>
      <w:r w:rsidRPr="00CF2748">
        <w:t>Enterprise Risk Management</w:t>
      </w:r>
      <w:r w:rsidRPr="00DD2DBE">
        <w:t xml:space="preserve"> </w:t>
      </w:r>
      <w:r>
        <w:t xml:space="preserve">in Banking </w:t>
      </w:r>
    </w:p>
    <w:p w:rsidR="00084F71" w:rsidRPr="00266114" w:rsidRDefault="00084F71" w:rsidP="00084F71">
      <w:pPr>
        <w:pStyle w:val="NoSpacing"/>
      </w:pPr>
      <w:r>
        <w:t>2.2.1 The Basel Accords</w:t>
      </w:r>
    </w:p>
    <w:p w:rsidR="00084F71" w:rsidRDefault="00084F71" w:rsidP="00084F71">
      <w:pPr>
        <w:pStyle w:val="NoSpacing"/>
      </w:pPr>
      <w:r>
        <w:t xml:space="preserve">2.3. </w:t>
      </w:r>
      <w:r w:rsidRPr="00CF2748">
        <w:t>Enterprise Risk Management</w:t>
      </w:r>
      <w:r w:rsidRPr="00DD2DBE">
        <w:t xml:space="preserve"> </w:t>
      </w:r>
      <w:r>
        <w:t>in Insurance</w:t>
      </w:r>
    </w:p>
    <w:p w:rsidR="00084F71" w:rsidRPr="00266114" w:rsidRDefault="00084F71" w:rsidP="00084F71">
      <w:pPr>
        <w:pStyle w:val="NoSpacing"/>
      </w:pPr>
      <w:r>
        <w:t>2.3.1 The Basel Accords</w:t>
      </w:r>
    </w:p>
    <w:p w:rsidR="00084F71" w:rsidRDefault="00084F71" w:rsidP="00084F71">
      <w:pPr>
        <w:pStyle w:val="NoSpacing"/>
      </w:pPr>
      <w:r>
        <w:t>2.4 Measuring Market Risk</w:t>
      </w:r>
    </w:p>
    <w:p w:rsidR="00084F71" w:rsidRDefault="00084F71" w:rsidP="00084F71">
      <w:pPr>
        <w:pStyle w:val="NoSpacing"/>
      </w:pPr>
      <w:r>
        <w:t xml:space="preserve">2.4.1 </w:t>
      </w:r>
      <w:proofErr w:type="spellStart"/>
      <w:r>
        <w:t>VaR</w:t>
      </w:r>
      <w:proofErr w:type="spellEnd"/>
      <w:r>
        <w:t xml:space="preserve"> – Value at risk</w:t>
      </w:r>
    </w:p>
    <w:p w:rsidR="00084F71" w:rsidRDefault="00084F71" w:rsidP="00084F71">
      <w:pPr>
        <w:pStyle w:val="NoSpacing"/>
      </w:pPr>
      <w:r>
        <w:t>2.4.2 Historical simulation</w:t>
      </w:r>
    </w:p>
    <w:p w:rsidR="00084F71" w:rsidRPr="00406737" w:rsidRDefault="00084F71" w:rsidP="00084F71">
      <w:pPr>
        <w:pStyle w:val="NoSpacing"/>
      </w:pPr>
      <w:r w:rsidRPr="00406737">
        <w:t>2.4.3 Variance-covariance approach</w:t>
      </w:r>
    </w:p>
    <w:p w:rsidR="00084F71" w:rsidRPr="00406737" w:rsidRDefault="00084F71" w:rsidP="00084F71">
      <w:pPr>
        <w:pStyle w:val="NoSpacing"/>
      </w:pPr>
      <w:r w:rsidRPr="00406737">
        <w:t>2.4.4 Scenario analysis</w:t>
      </w:r>
    </w:p>
    <w:p w:rsidR="00084F71" w:rsidRPr="00406737" w:rsidRDefault="00084F71" w:rsidP="00084F71">
      <w:pPr>
        <w:pStyle w:val="NoSpacing"/>
      </w:pPr>
      <w:r w:rsidRPr="00406737">
        <w:t xml:space="preserve">2.4.5 </w:t>
      </w:r>
      <w:proofErr w:type="spellStart"/>
      <w:r w:rsidRPr="00406737">
        <w:t>CVaR</w:t>
      </w:r>
      <w:proofErr w:type="spellEnd"/>
    </w:p>
    <w:p w:rsidR="00084F71" w:rsidRPr="00406737" w:rsidRDefault="00084F71" w:rsidP="00084F71">
      <w:pPr>
        <w:pStyle w:val="NoSpacing"/>
      </w:pPr>
      <w:r w:rsidRPr="00406737">
        <w:t>2.5 Measuring Credit Risk</w:t>
      </w:r>
    </w:p>
    <w:p w:rsidR="00084F71" w:rsidRPr="00406737" w:rsidRDefault="00084F71" w:rsidP="00084F71">
      <w:pPr>
        <w:pStyle w:val="NoSpacing"/>
      </w:pPr>
      <w:r w:rsidRPr="00406737">
        <w:t>2.6 Measuring Operational Risk</w:t>
      </w:r>
    </w:p>
    <w:p w:rsidR="00084F71" w:rsidRPr="00406737" w:rsidRDefault="00084F71" w:rsidP="00084F71">
      <w:pPr>
        <w:pStyle w:val="NoSpacing"/>
      </w:pPr>
      <w:r w:rsidRPr="00406737">
        <w:t>2.7 Conclusions</w:t>
      </w:r>
    </w:p>
    <w:p w:rsidR="00084F71" w:rsidRPr="00406737" w:rsidRDefault="00084F71" w:rsidP="00084F71">
      <w:pPr>
        <w:pStyle w:val="NoSpacing"/>
      </w:pPr>
    </w:p>
    <w:p w:rsidR="00084F71" w:rsidRPr="00406737" w:rsidRDefault="00084F71" w:rsidP="00084F71">
      <w:pPr>
        <w:pStyle w:val="NoSpacing"/>
      </w:pPr>
      <w:r w:rsidRPr="00406737">
        <w:t>Chapter 3: The Insurance Perspective</w:t>
      </w:r>
    </w:p>
    <w:p w:rsidR="00084F71" w:rsidRPr="00406737" w:rsidRDefault="00084F71" w:rsidP="00084F71">
      <w:pPr>
        <w:pStyle w:val="NoSpacing"/>
      </w:pPr>
      <w:r w:rsidRPr="00406737">
        <w:t>3.1 Sarbanes Oxley</w:t>
      </w:r>
    </w:p>
    <w:p w:rsidR="00084F71" w:rsidRPr="00406737" w:rsidRDefault="00084F71" w:rsidP="00084F71">
      <w:pPr>
        <w:pStyle w:val="NoSpacing"/>
      </w:pPr>
      <w:r w:rsidRPr="00406737">
        <w:t>3.2 The COSO Framework</w:t>
      </w:r>
    </w:p>
    <w:p w:rsidR="00084F71" w:rsidRPr="00406737" w:rsidRDefault="00084F71" w:rsidP="00084F71">
      <w:pPr>
        <w:pStyle w:val="NoSpacing"/>
      </w:pPr>
      <w:r w:rsidRPr="00406737">
        <w:t>3.2.1 Categories</w:t>
      </w:r>
    </w:p>
    <w:p w:rsidR="00084F71" w:rsidRPr="00406737" w:rsidRDefault="00084F71" w:rsidP="00084F71">
      <w:pPr>
        <w:pStyle w:val="NoSpacing"/>
      </w:pPr>
      <w:r w:rsidRPr="00406737">
        <w:t>3.2.2 Activities</w:t>
      </w:r>
    </w:p>
    <w:p w:rsidR="00084F71" w:rsidRPr="00406737" w:rsidRDefault="00084F71" w:rsidP="00084F71">
      <w:pPr>
        <w:pStyle w:val="NoSpacing"/>
      </w:pPr>
      <w:r w:rsidRPr="00406737">
        <w:t>3.3 Risk Appetite</w:t>
      </w:r>
    </w:p>
    <w:p w:rsidR="00084F71" w:rsidRPr="00406737" w:rsidRDefault="00084F71" w:rsidP="00084F71">
      <w:pPr>
        <w:pStyle w:val="NoSpacing"/>
      </w:pPr>
      <w:r w:rsidRPr="00406737">
        <w:t>3.4 Conclusions</w:t>
      </w:r>
    </w:p>
    <w:p w:rsidR="00084F71" w:rsidRPr="00406737" w:rsidRDefault="00084F71" w:rsidP="00084F71">
      <w:pPr>
        <w:pStyle w:val="NoSpacing"/>
      </w:pPr>
    </w:p>
    <w:p w:rsidR="00084F71" w:rsidRPr="00406737" w:rsidRDefault="00084F71" w:rsidP="00084F71">
      <w:pPr>
        <w:pStyle w:val="NoSpacing"/>
      </w:pPr>
      <w:r w:rsidRPr="00406737">
        <w:t>Chapter 4: Sustainable investment</w:t>
      </w:r>
    </w:p>
    <w:p w:rsidR="00084F71" w:rsidRPr="00406737" w:rsidRDefault="00084F71" w:rsidP="00084F71">
      <w:pPr>
        <w:pStyle w:val="NoSpacing"/>
      </w:pPr>
      <w:r w:rsidRPr="00406737">
        <w:t>4.1 Sustainable investment market</w:t>
      </w:r>
    </w:p>
    <w:p w:rsidR="00084F71" w:rsidRPr="00406737" w:rsidRDefault="00084F71" w:rsidP="00084F71">
      <w:pPr>
        <w:pStyle w:val="NoSpacing"/>
      </w:pPr>
      <w:r w:rsidRPr="00406737">
        <w:t>4.2 Modeling</w:t>
      </w:r>
    </w:p>
    <w:p w:rsidR="00084F71" w:rsidRPr="00406737" w:rsidRDefault="00084F71" w:rsidP="00084F71">
      <w:pPr>
        <w:pStyle w:val="NoSpacing"/>
      </w:pPr>
      <w:r w:rsidRPr="00406737">
        <w:t>4.3 Index tracking</w:t>
      </w:r>
    </w:p>
    <w:p w:rsidR="00084F71" w:rsidRPr="00406737" w:rsidRDefault="00084F71" w:rsidP="00084F71">
      <w:pPr>
        <w:pStyle w:val="NoSpacing"/>
      </w:pPr>
      <w:r w:rsidRPr="00406737">
        <w:t xml:space="preserve">4.4 Demonstration, Computation </w:t>
      </w:r>
    </w:p>
    <w:p w:rsidR="00084F71" w:rsidRPr="00406737" w:rsidRDefault="00084F71" w:rsidP="00084F71">
      <w:pPr>
        <w:pStyle w:val="NoSpacing"/>
      </w:pPr>
      <w:r w:rsidRPr="00406737">
        <w:t>4.5 Conclusions</w:t>
      </w:r>
    </w:p>
    <w:p w:rsidR="00084F71" w:rsidRPr="00406737" w:rsidRDefault="00084F71" w:rsidP="00084F71">
      <w:pPr>
        <w:pStyle w:val="NoSpacing"/>
      </w:pPr>
    </w:p>
    <w:p w:rsidR="00084F71" w:rsidRPr="00406737" w:rsidRDefault="00084F71" w:rsidP="00084F71">
      <w:pPr>
        <w:pStyle w:val="NoSpacing"/>
      </w:pPr>
    </w:p>
    <w:p w:rsidR="00084F71" w:rsidRPr="00406737" w:rsidRDefault="00084F71" w:rsidP="00084F71">
      <w:pPr>
        <w:pStyle w:val="NoSpacing"/>
      </w:pPr>
      <w:r w:rsidRPr="00406737">
        <w:t>Part II: Tools</w:t>
      </w:r>
    </w:p>
    <w:p w:rsidR="00084F71" w:rsidRPr="00406737" w:rsidRDefault="00084F71" w:rsidP="00084F71">
      <w:pPr>
        <w:pStyle w:val="NoSpacing"/>
      </w:pPr>
    </w:p>
    <w:p w:rsidR="00084F71" w:rsidRPr="00406737" w:rsidRDefault="00084F71" w:rsidP="00084F71">
      <w:pPr>
        <w:pStyle w:val="NoSpacing"/>
      </w:pPr>
      <w:r w:rsidRPr="00406737">
        <w:t>Chapter 5: Banking performance analysis</w:t>
      </w:r>
    </w:p>
    <w:p w:rsidR="00084F71" w:rsidRPr="00406737" w:rsidRDefault="00084F71" w:rsidP="00084F71">
      <w:pPr>
        <w:pStyle w:val="NoSpacing"/>
      </w:pPr>
      <w:r w:rsidRPr="00406737">
        <w:t>5.1 Chain perspective of Banking Operations</w:t>
      </w:r>
    </w:p>
    <w:p w:rsidR="00084F71" w:rsidRPr="00406737" w:rsidRDefault="00084F71" w:rsidP="00084F71">
      <w:pPr>
        <w:pStyle w:val="NoSpacing"/>
      </w:pPr>
      <w:r w:rsidRPr="00406737">
        <w:t xml:space="preserve">5.2 Efficiency Analysis </w:t>
      </w:r>
    </w:p>
    <w:p w:rsidR="00084F71" w:rsidRPr="00406737" w:rsidRDefault="00084F71" w:rsidP="00084F71">
      <w:pPr>
        <w:pStyle w:val="NoSpacing"/>
      </w:pPr>
      <w:r w:rsidRPr="00406737">
        <w:lastRenderedPageBreak/>
        <w:t>5.2.1 DEA, Return to Scale</w:t>
      </w:r>
    </w:p>
    <w:p w:rsidR="00084F71" w:rsidRPr="00406737" w:rsidRDefault="00084F71" w:rsidP="00084F71">
      <w:pPr>
        <w:pStyle w:val="NoSpacing"/>
      </w:pPr>
      <w:r w:rsidRPr="00406737">
        <w:t>5.2.2 Data mining</w:t>
      </w:r>
    </w:p>
    <w:p w:rsidR="00084F71" w:rsidRPr="00406737" w:rsidRDefault="00084F71" w:rsidP="00084F71">
      <w:pPr>
        <w:pStyle w:val="NoSpacing"/>
      </w:pPr>
      <w:r w:rsidRPr="00406737">
        <w:t>5.2.3 Decision support</w:t>
      </w:r>
    </w:p>
    <w:p w:rsidR="00084F71" w:rsidRPr="00406737" w:rsidRDefault="00084F71" w:rsidP="00084F71">
      <w:pPr>
        <w:pStyle w:val="NoSpacing"/>
      </w:pPr>
      <w:r w:rsidRPr="00406737">
        <w:t>5.2.4 Modeling</w:t>
      </w:r>
    </w:p>
    <w:p w:rsidR="00084F71" w:rsidRPr="00406737" w:rsidRDefault="00084F71" w:rsidP="00084F71">
      <w:pPr>
        <w:pStyle w:val="NoSpacing"/>
      </w:pPr>
      <w:r w:rsidRPr="00406737">
        <w:t>5.2.5 Emergency management support systems</w:t>
      </w:r>
    </w:p>
    <w:p w:rsidR="00084F71" w:rsidRPr="00406737" w:rsidRDefault="00084F71" w:rsidP="00084F71">
      <w:pPr>
        <w:pStyle w:val="NoSpacing"/>
      </w:pPr>
      <w:r w:rsidRPr="00406737">
        <w:t>5.3 Conclusions</w:t>
      </w:r>
    </w:p>
    <w:p w:rsidR="00084F71" w:rsidRPr="00406737" w:rsidRDefault="00084F71" w:rsidP="00084F71">
      <w:pPr>
        <w:pStyle w:val="NoSpacing"/>
      </w:pPr>
    </w:p>
    <w:p w:rsidR="00084F71" w:rsidRPr="00406737" w:rsidRDefault="00084F71" w:rsidP="00084F71">
      <w:pPr>
        <w:pStyle w:val="NoSpacing"/>
      </w:pPr>
      <w:r w:rsidRPr="00406737">
        <w:t>Chapter 6: Stock market forecast</w:t>
      </w:r>
    </w:p>
    <w:p w:rsidR="00084F71" w:rsidRPr="00406737" w:rsidRDefault="00084F71" w:rsidP="00084F71">
      <w:pPr>
        <w:pStyle w:val="NoSpacing"/>
      </w:pPr>
      <w:r w:rsidRPr="00406737">
        <w:t>6.1 Demonstration of market evolution</w:t>
      </w:r>
    </w:p>
    <w:p w:rsidR="00084F71" w:rsidRPr="00406737" w:rsidRDefault="00084F71" w:rsidP="00084F71">
      <w:pPr>
        <w:pStyle w:val="NoSpacing"/>
      </w:pPr>
      <w:r w:rsidRPr="00406737">
        <w:t>6.2 Volatility modeling</w:t>
      </w:r>
    </w:p>
    <w:p w:rsidR="00084F71" w:rsidRPr="00406737" w:rsidRDefault="00084F71" w:rsidP="00084F71">
      <w:pPr>
        <w:pStyle w:val="NoSpacing"/>
      </w:pPr>
      <w:r w:rsidRPr="00406737">
        <w:t>5.2.1 GARCH</w:t>
      </w:r>
    </w:p>
    <w:p w:rsidR="00084F71" w:rsidRPr="00406737" w:rsidRDefault="00084F71" w:rsidP="00084F71">
      <w:pPr>
        <w:pStyle w:val="NoSpacing"/>
      </w:pPr>
      <w:r w:rsidRPr="00406737">
        <w:t>5.2.2 Neural networks</w:t>
      </w:r>
    </w:p>
    <w:p w:rsidR="00084F71" w:rsidRPr="00406737" w:rsidRDefault="00084F71" w:rsidP="00084F71">
      <w:pPr>
        <w:pStyle w:val="NoSpacing"/>
      </w:pPr>
      <w:r w:rsidRPr="00406737">
        <w:t>5.2.3 Modeling</w:t>
      </w:r>
    </w:p>
    <w:p w:rsidR="00084F71" w:rsidRPr="00406737" w:rsidRDefault="00084F71" w:rsidP="00084F71">
      <w:pPr>
        <w:pStyle w:val="NoSpacing"/>
      </w:pPr>
      <w:r w:rsidRPr="00406737">
        <w:t>5.2.3 Data analysis</w:t>
      </w:r>
    </w:p>
    <w:p w:rsidR="00084F71" w:rsidRPr="00406737" w:rsidRDefault="00084F71" w:rsidP="00084F71">
      <w:pPr>
        <w:pStyle w:val="NoSpacing"/>
      </w:pPr>
      <w:r w:rsidRPr="00406737">
        <w:t>6.3 Conclusion</w:t>
      </w:r>
    </w:p>
    <w:p w:rsidR="00084F71" w:rsidRPr="00406737" w:rsidRDefault="00084F71" w:rsidP="00084F71">
      <w:pPr>
        <w:pStyle w:val="NoSpacing"/>
      </w:pPr>
      <w:bookmarkStart w:id="0" w:name="_GoBack"/>
      <w:bookmarkEnd w:id="0"/>
    </w:p>
    <w:p w:rsidR="00084F71" w:rsidRPr="00406737" w:rsidRDefault="00084F71" w:rsidP="00084F71">
      <w:pPr>
        <w:pStyle w:val="NoSpacing"/>
      </w:pPr>
      <w:r w:rsidRPr="00406737">
        <w:t>Chapter 7: Financial sentiment analysis</w:t>
      </w:r>
    </w:p>
    <w:p w:rsidR="00084F71" w:rsidRPr="00406737" w:rsidRDefault="00084F71" w:rsidP="00084F71">
      <w:pPr>
        <w:pStyle w:val="NoSpacing"/>
      </w:pPr>
      <w:r w:rsidRPr="00406737">
        <w:t>7.1 Construction of sentiment</w:t>
      </w:r>
    </w:p>
    <w:p w:rsidR="00084F71" w:rsidRPr="00406737" w:rsidRDefault="00084F71" w:rsidP="00084F71">
      <w:pPr>
        <w:pStyle w:val="NoSpacing"/>
      </w:pPr>
      <w:r w:rsidRPr="00406737">
        <w:t>7.2 Text mining and sentiment for stock market analysis</w:t>
      </w:r>
    </w:p>
    <w:p w:rsidR="00084F71" w:rsidRPr="00406737" w:rsidRDefault="00084F71" w:rsidP="00084F71">
      <w:pPr>
        <w:pStyle w:val="NoSpacing"/>
      </w:pPr>
      <w:r w:rsidRPr="00406737">
        <w:t xml:space="preserve">7.3 Demonstration </w:t>
      </w:r>
    </w:p>
    <w:p w:rsidR="00084F71" w:rsidRPr="00406737" w:rsidRDefault="00084F71" w:rsidP="00084F71">
      <w:pPr>
        <w:pStyle w:val="NoSpacing"/>
      </w:pPr>
      <w:r w:rsidRPr="00406737">
        <w:t>7.4 Conclusions</w:t>
      </w:r>
    </w:p>
    <w:p w:rsidR="00084F71" w:rsidRPr="00406737" w:rsidRDefault="00084F71" w:rsidP="00084F71">
      <w:pPr>
        <w:pStyle w:val="NoSpacing"/>
      </w:pPr>
    </w:p>
    <w:p w:rsidR="00084F71" w:rsidRPr="00406737" w:rsidRDefault="00084F71" w:rsidP="00084F71">
      <w:pPr>
        <w:pStyle w:val="NoSpacing"/>
      </w:pPr>
      <w:r w:rsidRPr="00406737">
        <w:t>Chapter 8: Catastrophe bond and risk modeling</w:t>
      </w:r>
    </w:p>
    <w:p w:rsidR="00084F71" w:rsidRPr="00406737" w:rsidRDefault="00084F71" w:rsidP="00084F71">
      <w:pPr>
        <w:pStyle w:val="NoSpacing"/>
      </w:pPr>
      <w:r w:rsidRPr="00406737">
        <w:t>8.1 Bond market</w:t>
      </w:r>
    </w:p>
    <w:p w:rsidR="00084F71" w:rsidRPr="00406737" w:rsidRDefault="00084F71" w:rsidP="00084F71">
      <w:pPr>
        <w:pStyle w:val="NoSpacing"/>
      </w:pPr>
      <w:r w:rsidRPr="00406737">
        <w:t>8.2 Catastrophe bond</w:t>
      </w:r>
    </w:p>
    <w:p w:rsidR="00084F71" w:rsidRPr="00406737" w:rsidRDefault="00084F71" w:rsidP="00084F71">
      <w:pPr>
        <w:pStyle w:val="NoSpacing"/>
      </w:pPr>
      <w:r w:rsidRPr="00406737">
        <w:t xml:space="preserve">8.3 Jump Diffusion, Simulation Modeling </w:t>
      </w:r>
    </w:p>
    <w:p w:rsidR="00084F71" w:rsidRPr="00406737" w:rsidRDefault="00084F71" w:rsidP="00084F71">
      <w:pPr>
        <w:pStyle w:val="NoSpacing"/>
      </w:pPr>
      <w:r w:rsidRPr="00406737">
        <w:t xml:space="preserve">8.4 Demonstration, Computation </w:t>
      </w:r>
    </w:p>
    <w:p w:rsidR="00084F71" w:rsidRPr="00406737" w:rsidRDefault="00084F71" w:rsidP="00084F71">
      <w:pPr>
        <w:pStyle w:val="NoSpacing"/>
      </w:pPr>
      <w:r w:rsidRPr="00406737">
        <w:t>8.5 Conclusions</w:t>
      </w:r>
    </w:p>
    <w:p w:rsidR="00084F71" w:rsidRPr="00406737" w:rsidRDefault="00084F71" w:rsidP="00084F71">
      <w:pPr>
        <w:pStyle w:val="NoSpacing"/>
      </w:pPr>
    </w:p>
    <w:p w:rsidR="00084F71" w:rsidRPr="00406737" w:rsidRDefault="00084F71" w:rsidP="00084F71">
      <w:pPr>
        <w:pStyle w:val="NoSpacing"/>
      </w:pPr>
      <w:r w:rsidRPr="00406737">
        <w:t>Chapter 9: Credit Risk Analysis</w:t>
      </w:r>
    </w:p>
    <w:p w:rsidR="00084F71" w:rsidRPr="00406737" w:rsidRDefault="00084F71" w:rsidP="00084F71">
      <w:pPr>
        <w:pStyle w:val="NoSpacing"/>
      </w:pPr>
      <w:r w:rsidRPr="00406737">
        <w:t xml:space="preserve">9.1 Lorenz Curve, </w:t>
      </w:r>
    </w:p>
    <w:p w:rsidR="00084F71" w:rsidRPr="00406737" w:rsidRDefault="00084F71" w:rsidP="00084F71">
      <w:pPr>
        <w:pStyle w:val="NoSpacing"/>
      </w:pPr>
      <w:r w:rsidRPr="00406737">
        <w:t>9.3 Beacon</w:t>
      </w:r>
      <w:r w:rsidRPr="00406737">
        <w:rPr>
          <w:rFonts w:hint="eastAsia"/>
        </w:rPr>
        <w:t>,</w:t>
      </w:r>
      <w:r w:rsidRPr="00406737">
        <w:t xml:space="preserve"> credit bureau</w:t>
      </w:r>
      <w:r w:rsidRPr="00406737">
        <w:rPr>
          <w:rFonts w:hint="eastAsia"/>
        </w:rPr>
        <w:t xml:space="preserve"> and internal banking</w:t>
      </w:r>
    </w:p>
    <w:p w:rsidR="00084F71" w:rsidRPr="00406737" w:rsidRDefault="00084F71" w:rsidP="00084F71">
      <w:pPr>
        <w:pStyle w:val="NoSpacing"/>
      </w:pPr>
      <w:proofErr w:type="gramStart"/>
      <w:r w:rsidRPr="00406737">
        <w:t>9.4</w:t>
      </w:r>
      <w:proofErr w:type="gramEnd"/>
      <w:r w:rsidRPr="00406737">
        <w:t xml:space="preserve"> accounts receivable, Credit rating</w:t>
      </w:r>
    </w:p>
    <w:p w:rsidR="00084F71" w:rsidRPr="00406737" w:rsidRDefault="00084F71" w:rsidP="00084F71">
      <w:pPr>
        <w:pStyle w:val="NoSpacing"/>
      </w:pPr>
      <w:r w:rsidRPr="00406737">
        <w:t>9.5 Conclusions</w:t>
      </w:r>
    </w:p>
    <w:p w:rsidR="00084F71" w:rsidRPr="00406737" w:rsidRDefault="00084F71" w:rsidP="00084F71">
      <w:pPr>
        <w:pStyle w:val="NoSpacing"/>
      </w:pPr>
    </w:p>
    <w:p w:rsidR="00084F71" w:rsidRPr="00406737" w:rsidRDefault="00084F71" w:rsidP="00084F71">
      <w:pPr>
        <w:pStyle w:val="NoSpacing"/>
      </w:pPr>
      <w:r w:rsidRPr="00406737">
        <w:t>Part III: Cases</w:t>
      </w:r>
    </w:p>
    <w:p w:rsidR="00084F71" w:rsidRPr="00406737" w:rsidRDefault="00084F71" w:rsidP="00084F71">
      <w:pPr>
        <w:pStyle w:val="NoSpacing"/>
      </w:pPr>
      <w:r w:rsidRPr="00406737">
        <w:t>Chapter 10: Financial Risk Case</w:t>
      </w:r>
    </w:p>
    <w:p w:rsidR="00084F71" w:rsidRPr="00406737" w:rsidRDefault="00084F71" w:rsidP="00084F71">
      <w:pPr>
        <w:pStyle w:val="NoSpacing"/>
      </w:pPr>
      <w:r w:rsidRPr="00406737">
        <w:t>Chapter 11: Insurance Risk Case</w:t>
      </w:r>
    </w:p>
    <w:p w:rsidR="00084F71" w:rsidRPr="00406737" w:rsidRDefault="00084F71" w:rsidP="00084F71">
      <w:pPr>
        <w:pStyle w:val="NoSpacing"/>
      </w:pPr>
      <w:r w:rsidRPr="00406737">
        <w:t>Chapter 12: Real option Case</w:t>
      </w:r>
    </w:p>
    <w:p w:rsidR="00084F71" w:rsidRDefault="00084F71"/>
    <w:sectPr w:rsidR="00084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626"/>
    <w:multiLevelType w:val="multilevel"/>
    <w:tmpl w:val="D9B8E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0E"/>
    <w:rsid w:val="00084F71"/>
    <w:rsid w:val="000E4C0E"/>
    <w:rsid w:val="009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1A9F"/>
  <w15:chartTrackingRefBased/>
  <w15:docId w15:val="{047FDD3B-DB17-46F0-BDB5-B09A8280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84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 Lincoln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Olson</dc:creator>
  <cp:keywords/>
  <dc:description/>
  <cp:lastModifiedBy>David Olson</cp:lastModifiedBy>
  <cp:revision>2</cp:revision>
  <cp:lastPrinted>2016-02-16T16:35:00Z</cp:lastPrinted>
  <dcterms:created xsi:type="dcterms:W3CDTF">2016-02-16T16:32:00Z</dcterms:created>
  <dcterms:modified xsi:type="dcterms:W3CDTF">2018-07-20T12:56:00Z</dcterms:modified>
</cp:coreProperties>
</file>